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2" w:rsidRDefault="00473362" w:rsidP="000C0D32"/>
    <w:p w:rsidR="000C0D32" w:rsidRDefault="000C0D32" w:rsidP="000C0D32"/>
    <w:p w:rsidR="00DE3CF5" w:rsidRDefault="00DE3CF5" w:rsidP="000419EA">
      <w:pPr>
        <w:jc w:val="center"/>
        <w:rPr>
          <w:b/>
          <w:sz w:val="36"/>
          <w:szCs w:val="36"/>
        </w:rPr>
      </w:pPr>
      <w:r w:rsidRPr="000419EA">
        <w:rPr>
          <w:b/>
          <w:sz w:val="36"/>
          <w:szCs w:val="36"/>
        </w:rPr>
        <w:t xml:space="preserve">SINDUSCON-MG PERGUNTA E CEMIG </w:t>
      </w:r>
      <w:r w:rsidR="000419EA" w:rsidRPr="000419EA">
        <w:rPr>
          <w:b/>
          <w:sz w:val="36"/>
          <w:szCs w:val="36"/>
        </w:rPr>
        <w:t>RESPONDE</w:t>
      </w:r>
    </w:p>
    <w:p w:rsidR="000419EA" w:rsidRPr="000419EA" w:rsidRDefault="000419EA" w:rsidP="000419EA">
      <w:pPr>
        <w:jc w:val="center"/>
        <w:rPr>
          <w:b/>
          <w:sz w:val="36"/>
          <w:szCs w:val="36"/>
        </w:rPr>
      </w:pPr>
    </w:p>
    <w:p w:rsidR="00DE3CF5" w:rsidRPr="00E758B3" w:rsidRDefault="00E758B3" w:rsidP="00DE3CF5">
      <w:pPr>
        <w:jc w:val="both"/>
        <w:rPr>
          <w:rFonts w:ascii="Arial Narrow" w:hAnsi="Arial Narrow"/>
          <w:b/>
          <w:color w:val="FF0000"/>
        </w:rPr>
      </w:pPr>
      <w:r w:rsidRPr="00E758B3">
        <w:rPr>
          <w:rFonts w:ascii="Arial Narrow" w:hAnsi="Arial Narrow"/>
          <w:b/>
          <w:color w:val="FF0000"/>
        </w:rPr>
        <w:t xml:space="preserve">1 – DURANTE O PROCESSO DE AQUISIÇÃO DO TERRENO – COMO OBTER INFORMAÇÕES BÁSICAS SOBRE DISPONIBILIDADE DE ENERGIA ELÉTRICA?  </w:t>
      </w:r>
    </w:p>
    <w:p w:rsidR="00DE3CF5" w:rsidRPr="00E758B3" w:rsidRDefault="00E758B3" w:rsidP="00E758B3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1.1 </w:t>
      </w:r>
      <w:r w:rsidRPr="00E758B3">
        <w:rPr>
          <w:rFonts w:ascii="Arial Narrow" w:hAnsi="Arial Narrow"/>
          <w:b/>
        </w:rPr>
        <w:t>A EMPRESA QUER ADQUIRIR UM TERRENO E PRECISA VERIFICAR SE NO LOCAL A CEMIG TEM DISPONIBILIDADE DE FORNECIMENTO ENERGIA. O QUE A EMPRESA DEVE FAZER PARA OBTER ESTA INFORMAÇÃO?</w:t>
      </w:r>
    </w:p>
    <w:p w:rsidR="00DE3CF5" w:rsidRPr="009C0240" w:rsidRDefault="00DE3CF5" w:rsidP="00DE3CF5">
      <w:pPr>
        <w:ind w:left="1143"/>
        <w:jc w:val="both"/>
        <w:rPr>
          <w:rFonts w:ascii="Arial Narrow" w:hAnsi="Arial Narrow"/>
        </w:rPr>
      </w:pPr>
    </w:p>
    <w:p w:rsidR="00DE3CF5" w:rsidRPr="009C0240" w:rsidRDefault="00DE3CF5" w:rsidP="00DE3CF5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A Caixa Econômica Federal, órgão financiador do Programa Minha Casa Minha Vida, costumeiramente solicita ao empreendedor que obtenha junto à Cemig Distribuição S.A. carta de viabilidade técnica de fornecimento de energia ao empreendimento.</w:t>
      </w:r>
    </w:p>
    <w:p w:rsidR="00DE3CF5" w:rsidRPr="00E758B3" w:rsidRDefault="00E758B3" w:rsidP="00E758B3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proofErr w:type="gramStart"/>
      <w:r>
        <w:rPr>
          <w:rFonts w:ascii="Arial Narrow" w:hAnsi="Arial Narrow"/>
          <w:b/>
        </w:rPr>
        <w:t xml:space="preserve">1.2 </w:t>
      </w:r>
      <w:r w:rsidRPr="00E758B3">
        <w:rPr>
          <w:rFonts w:ascii="Arial Narrow" w:hAnsi="Arial Narrow"/>
          <w:b/>
        </w:rPr>
        <w:t>QUAL</w:t>
      </w:r>
      <w:proofErr w:type="gramEnd"/>
      <w:r w:rsidRPr="00E758B3">
        <w:rPr>
          <w:rFonts w:ascii="Arial Narrow" w:hAnsi="Arial Narrow"/>
          <w:b/>
        </w:rPr>
        <w:t xml:space="preserve"> O PRAZO PARA FORNECIMENTO DESTA INFORMAÇÃO? </w:t>
      </w:r>
    </w:p>
    <w:p w:rsidR="00DE3CF5" w:rsidRPr="009C0240" w:rsidRDefault="00DE3CF5" w:rsidP="00DE3CF5">
      <w:pPr>
        <w:ind w:left="435"/>
        <w:jc w:val="both"/>
        <w:rPr>
          <w:rFonts w:ascii="Arial Narrow" w:hAnsi="Arial Narrow"/>
        </w:rPr>
      </w:pPr>
    </w:p>
    <w:p w:rsidR="00DE3CF5" w:rsidRPr="009C0240" w:rsidRDefault="00DE3CF5" w:rsidP="00DE3CF5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 xml:space="preserve">A carta de viabilidade técnica pode ser solicitada nas agências de atendimento da Cemig e o prazo de emissão é de </w:t>
      </w:r>
      <w:r w:rsidR="00AB5A25" w:rsidRPr="00E758B3">
        <w:rPr>
          <w:rFonts w:ascii="Arial Narrow" w:hAnsi="Arial Narrow"/>
          <w:color w:val="002060"/>
        </w:rPr>
        <w:t>30</w:t>
      </w:r>
      <w:r w:rsidRPr="00E758B3">
        <w:rPr>
          <w:rFonts w:ascii="Arial Narrow" w:hAnsi="Arial Narrow"/>
          <w:color w:val="002060"/>
        </w:rPr>
        <w:t xml:space="preserve"> dias.</w:t>
      </w:r>
    </w:p>
    <w:p w:rsidR="00DE3CF5" w:rsidRPr="00E758B3" w:rsidRDefault="00E758B3" w:rsidP="00DE3CF5">
      <w:pPr>
        <w:jc w:val="both"/>
        <w:rPr>
          <w:rFonts w:ascii="Arial Narrow" w:hAnsi="Arial Narrow"/>
          <w:b/>
          <w:color w:val="FF0000"/>
        </w:rPr>
      </w:pPr>
      <w:r w:rsidRPr="00E758B3">
        <w:rPr>
          <w:rFonts w:ascii="Arial Narrow" w:hAnsi="Arial Narrow"/>
          <w:b/>
          <w:color w:val="FF0000"/>
        </w:rPr>
        <w:t>2 – SOBRE APROVAÇÃO DO PROJETO DE ENTRADAS DE ENERGIA</w:t>
      </w:r>
    </w:p>
    <w:p w:rsidR="00DE3CF5" w:rsidRPr="00E758B3" w:rsidRDefault="00E758B3" w:rsidP="00DE3C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Pr="00E758B3">
        <w:rPr>
          <w:rFonts w:ascii="Arial Narrow" w:hAnsi="Arial Narrow"/>
          <w:b/>
        </w:rPr>
        <w:t>2.1 NO ANO PASSADO A CEMIG SUSPENDEU A APROVAÇÃO DE PROJETOS. A CEMIG CONFIRMA?</w:t>
      </w:r>
    </w:p>
    <w:p w:rsidR="00DE3CF5" w:rsidRPr="009C0240" w:rsidRDefault="00DE3CF5" w:rsidP="00DE3CF5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 xml:space="preserve">Informações referentes </w:t>
      </w:r>
      <w:proofErr w:type="gramStart"/>
      <w:r w:rsidRPr="00E758B3">
        <w:rPr>
          <w:rFonts w:ascii="Arial Narrow" w:hAnsi="Arial Narrow"/>
          <w:color w:val="002060"/>
        </w:rPr>
        <w:t>a</w:t>
      </w:r>
      <w:proofErr w:type="gramEnd"/>
      <w:r w:rsidRPr="00E758B3">
        <w:rPr>
          <w:rFonts w:ascii="Arial Narrow" w:hAnsi="Arial Narrow"/>
          <w:color w:val="002060"/>
        </w:rPr>
        <w:t xml:space="preserve"> aprovação de entrada de energia elétrica em edificações de uso individual e coletivo podem ser obtidas no portal da Cemig: </w:t>
      </w:r>
    </w:p>
    <w:p w:rsidR="00DE3CF5" w:rsidRPr="00E758B3" w:rsidRDefault="00E758B3" w:rsidP="00DE3CF5">
      <w:pPr>
        <w:ind w:left="708"/>
        <w:jc w:val="both"/>
        <w:rPr>
          <w:rFonts w:ascii="Arial Narrow" w:hAnsi="Arial Narrow"/>
          <w:color w:val="002060"/>
        </w:rPr>
      </w:pPr>
      <w:hyperlink r:id="rId9" w:history="1">
        <w:r w:rsidR="00DE3CF5" w:rsidRPr="00E758B3">
          <w:rPr>
            <w:rStyle w:val="Hyperlink"/>
            <w:rFonts w:ascii="Arial Narrow" w:hAnsi="Arial Narrow"/>
            <w:color w:val="002060"/>
            <w:u w:val="none"/>
          </w:rPr>
          <w:t>http://www.cemig.com.br/Atendimento/ClientesResidenciaisEDemaisClasses/Paginas/NormaTecnica.aspx</w:t>
        </w:r>
      </w:hyperlink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No portal estão disponíveis as normas de distribuição ND-5.1, ND-5.2 e ND-5.3 com todas as informações técnicas necessárias.</w:t>
      </w:r>
    </w:p>
    <w:p w:rsidR="00DE3CF5" w:rsidRPr="00E758B3" w:rsidRDefault="00E758B3" w:rsidP="00DE3C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Pr="00E758B3">
        <w:rPr>
          <w:rFonts w:ascii="Arial Narrow" w:hAnsi="Arial Narrow"/>
          <w:b/>
        </w:rPr>
        <w:t xml:space="preserve">2.2 COMO A CEMIG </w:t>
      </w:r>
      <w:proofErr w:type="gramStart"/>
      <w:r w:rsidRPr="00E758B3">
        <w:rPr>
          <w:rFonts w:ascii="Arial Narrow" w:hAnsi="Arial Narrow"/>
          <w:b/>
        </w:rPr>
        <w:t>FICA</w:t>
      </w:r>
      <w:proofErr w:type="gramEnd"/>
      <w:r w:rsidRPr="00E758B3">
        <w:rPr>
          <w:rFonts w:ascii="Arial Narrow" w:hAnsi="Arial Narrow"/>
          <w:b/>
        </w:rPr>
        <w:t xml:space="preserve"> SABENDO AS NOVAS DEMANDAS DE EXPANSÃO DE REDE?</w:t>
      </w:r>
    </w:p>
    <w:p w:rsidR="00DE3CF5" w:rsidRPr="009C0240" w:rsidRDefault="00DE3CF5" w:rsidP="00DE3CF5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As demandas são apresentadas por meio de solicitações de fornecimento de energia elétrica.</w:t>
      </w:r>
    </w:p>
    <w:p w:rsidR="00DE3CF5" w:rsidRPr="009C0240" w:rsidRDefault="00DE3CF5" w:rsidP="00DE3CF5">
      <w:pPr>
        <w:jc w:val="both"/>
        <w:rPr>
          <w:rFonts w:ascii="Arial Narrow" w:hAnsi="Arial Narrow"/>
        </w:rPr>
      </w:pPr>
    </w:p>
    <w:p w:rsidR="00DE3CF5" w:rsidRPr="00E758B3" w:rsidRDefault="00E758B3" w:rsidP="00DE3C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   </w:t>
      </w:r>
      <w:r w:rsidRPr="00E758B3">
        <w:rPr>
          <w:rFonts w:ascii="Arial Narrow" w:hAnsi="Arial Narrow"/>
          <w:b/>
        </w:rPr>
        <w:t>2.3 EXISTEM AÇÕES/PROJETOS COM FOCO NO ATENDIMENTO DESTAS DEMANDAS?</w:t>
      </w:r>
    </w:p>
    <w:p w:rsidR="00DE3CF5" w:rsidRPr="009C0240" w:rsidRDefault="00DE3CF5" w:rsidP="00DE3CF5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Os atendimentos às solicitações de fornecimento de energia elétrica seguem os prazos e critérios definidos na regulamentação do setor elétrico.</w:t>
      </w:r>
    </w:p>
    <w:p w:rsidR="00DE3CF5" w:rsidRPr="009C0240" w:rsidRDefault="00DE3CF5" w:rsidP="00DE3CF5">
      <w:pPr>
        <w:jc w:val="both"/>
        <w:rPr>
          <w:rFonts w:ascii="Arial Narrow" w:hAnsi="Arial Narrow"/>
        </w:rPr>
      </w:pPr>
    </w:p>
    <w:p w:rsidR="00DE3CF5" w:rsidRPr="00E758B3" w:rsidRDefault="00E758B3" w:rsidP="00DE3C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Pr="00E758B3">
        <w:rPr>
          <w:rFonts w:ascii="Arial Narrow" w:hAnsi="Arial Narrow"/>
          <w:b/>
        </w:rPr>
        <w:t xml:space="preserve">2.4 EXISTEM AÇÕES ESTRATÉGICAS COM FOCO EM DEMANDAS FUTURAS EM ÁREAS DE POSSÍVEL EXPANSÃO URBANA?  </w:t>
      </w:r>
    </w:p>
    <w:p w:rsidR="00DE3CF5" w:rsidRPr="009C0240" w:rsidRDefault="00DE3CF5" w:rsidP="00DE3CF5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As ações são baseadas nos critérios de planejamento do sistema elétrico e nas demandas apresentadas à Cemig D.</w:t>
      </w:r>
    </w:p>
    <w:p w:rsidR="00DE3CF5" w:rsidRDefault="00DE3CF5" w:rsidP="00DE3CF5">
      <w:pPr>
        <w:jc w:val="both"/>
        <w:rPr>
          <w:rFonts w:ascii="Arial Narrow" w:hAnsi="Arial Narrow"/>
          <w:b/>
        </w:rPr>
      </w:pPr>
    </w:p>
    <w:p w:rsidR="00DE3CF5" w:rsidRPr="00E758B3" w:rsidRDefault="00E758B3" w:rsidP="00DE3CF5">
      <w:pPr>
        <w:jc w:val="both"/>
        <w:rPr>
          <w:rFonts w:ascii="Arial Narrow" w:hAnsi="Arial Narrow"/>
          <w:b/>
          <w:color w:val="FF0000"/>
        </w:rPr>
      </w:pPr>
      <w:r w:rsidRPr="00E758B3">
        <w:rPr>
          <w:rFonts w:ascii="Arial Narrow" w:hAnsi="Arial Narrow"/>
          <w:b/>
          <w:color w:val="FF0000"/>
        </w:rPr>
        <w:t>3 – SOBRE PADRÃO DE OBRA</w:t>
      </w:r>
    </w:p>
    <w:p w:rsidR="00DE3CF5" w:rsidRPr="00E758B3" w:rsidRDefault="00E758B3" w:rsidP="00DE3C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proofErr w:type="gramStart"/>
      <w:r w:rsidRPr="00E758B3">
        <w:rPr>
          <w:rFonts w:ascii="Arial Narrow" w:hAnsi="Arial Narrow"/>
          <w:b/>
        </w:rPr>
        <w:t>3.1 QUAL</w:t>
      </w:r>
      <w:proofErr w:type="gramEnd"/>
      <w:r w:rsidRPr="00E758B3">
        <w:rPr>
          <w:rFonts w:ascii="Arial Narrow" w:hAnsi="Arial Narrow"/>
          <w:b/>
        </w:rPr>
        <w:t xml:space="preserve"> A MANEIRA MAIS OBJETIVA E DIRETA PARA QUE AS EMPRESAS ASSOCIADAS OBTENHAM LIGAÇÃO DO PADRÃO DE OBRA?</w:t>
      </w:r>
    </w:p>
    <w:p w:rsidR="004613E4" w:rsidRPr="009C0240" w:rsidRDefault="004613E4" w:rsidP="004613E4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AB5A25" w:rsidRPr="00E758B3" w:rsidRDefault="00AB5A25" w:rsidP="00AB5A25">
      <w:pPr>
        <w:ind w:firstLine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 xml:space="preserve">As empresas devem procurar uma Agência de Atendimento da Cemig ou os Postos Cemig </w:t>
      </w:r>
      <w:proofErr w:type="gramStart"/>
      <w:r w:rsidRPr="00E758B3">
        <w:rPr>
          <w:rFonts w:ascii="Arial Narrow" w:hAnsi="Arial Narrow"/>
          <w:color w:val="002060"/>
        </w:rPr>
        <w:t>Fácil</w:t>
      </w:r>
      <w:proofErr w:type="gramEnd"/>
      <w:r w:rsidRPr="00E758B3">
        <w:rPr>
          <w:rFonts w:ascii="Arial Narrow" w:hAnsi="Arial Narrow"/>
          <w:color w:val="002060"/>
        </w:rPr>
        <w:t xml:space="preserve"> de Atendimento.</w:t>
      </w:r>
    </w:p>
    <w:p w:rsidR="00DE3CF5" w:rsidRPr="00E758B3" w:rsidRDefault="00E758B3" w:rsidP="00DE3C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Pr="00E758B3">
        <w:rPr>
          <w:rFonts w:ascii="Arial Narrow" w:hAnsi="Arial Narrow"/>
          <w:b/>
        </w:rPr>
        <w:t>3.2 QUAIS SÃO OS DOCUMENTOS E OS PROCEDIMENTOS NECESSÁRIOS?</w:t>
      </w:r>
    </w:p>
    <w:p w:rsidR="004613E4" w:rsidRPr="009C0240" w:rsidRDefault="004613E4" w:rsidP="004613E4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AB5A25" w:rsidRPr="00E758B3" w:rsidRDefault="00547B62" w:rsidP="00547B62">
      <w:pPr>
        <w:ind w:left="709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 xml:space="preserve">As empresas deverão apresentar os documentos básicos de constituição da empresa (contrato social ou último aditivo e cartão do CNPJ ou certificado emitido pela JUCEMG) e documentação de identificação oficial com foto e CPF do </w:t>
      </w:r>
      <w:proofErr w:type="spellStart"/>
      <w:r w:rsidRPr="00E758B3">
        <w:rPr>
          <w:rFonts w:ascii="Arial Narrow" w:hAnsi="Arial Narrow"/>
          <w:color w:val="002060"/>
        </w:rPr>
        <w:t>respresentante</w:t>
      </w:r>
      <w:proofErr w:type="spellEnd"/>
      <w:r w:rsidRPr="00E758B3">
        <w:rPr>
          <w:rFonts w:ascii="Arial Narrow" w:hAnsi="Arial Narrow"/>
          <w:color w:val="002060"/>
        </w:rPr>
        <w:t xml:space="preserve"> legal da empresa.</w:t>
      </w:r>
    </w:p>
    <w:p w:rsidR="00547B62" w:rsidRPr="00E758B3" w:rsidRDefault="00547B62" w:rsidP="00547B62">
      <w:pPr>
        <w:ind w:left="709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 xml:space="preserve">Além disso, deverão ser </w:t>
      </w:r>
      <w:proofErr w:type="gramStart"/>
      <w:r w:rsidRPr="00E758B3">
        <w:rPr>
          <w:rFonts w:ascii="Arial Narrow" w:hAnsi="Arial Narrow"/>
          <w:color w:val="002060"/>
        </w:rPr>
        <w:t>apresentados as informações técnicas</w:t>
      </w:r>
      <w:r w:rsidR="000C6669" w:rsidRPr="00E758B3">
        <w:rPr>
          <w:rFonts w:ascii="Arial Narrow" w:hAnsi="Arial Narrow"/>
          <w:color w:val="002060"/>
        </w:rPr>
        <w:t xml:space="preserve"> relativas</w:t>
      </w:r>
      <w:proofErr w:type="gramEnd"/>
      <w:r w:rsidR="000C6669" w:rsidRPr="00E758B3">
        <w:rPr>
          <w:rFonts w:ascii="Arial Narrow" w:hAnsi="Arial Narrow"/>
          <w:color w:val="002060"/>
        </w:rPr>
        <w:t xml:space="preserve"> à unidade consumidora a ser ligada, tais como carga ou capacidade do disjuntor a ser ligado, número de fases da ligação, endereço completo do imóvel, ramo de atividade, </w:t>
      </w:r>
      <w:r w:rsidR="000C6669" w:rsidRPr="00E758B3">
        <w:rPr>
          <w:rFonts w:ascii="Arial Narrow" w:hAnsi="Arial Narrow"/>
          <w:i/>
          <w:color w:val="002060"/>
        </w:rPr>
        <w:t>e-mail</w:t>
      </w:r>
      <w:r w:rsidR="00F23BF3" w:rsidRPr="00E758B3">
        <w:rPr>
          <w:rFonts w:ascii="Arial Narrow" w:hAnsi="Arial Narrow"/>
          <w:color w:val="002060"/>
        </w:rPr>
        <w:t>, telefone</w:t>
      </w:r>
      <w:r w:rsidR="000C6669" w:rsidRPr="00E758B3">
        <w:rPr>
          <w:rFonts w:ascii="Arial Narrow" w:hAnsi="Arial Narrow"/>
          <w:color w:val="002060"/>
        </w:rPr>
        <w:t xml:space="preserve">, </w:t>
      </w:r>
      <w:r w:rsidR="00F23BF3" w:rsidRPr="00E758B3">
        <w:rPr>
          <w:rFonts w:ascii="Arial Narrow" w:hAnsi="Arial Narrow"/>
          <w:color w:val="002060"/>
        </w:rPr>
        <w:t xml:space="preserve">dentre outros, indicados em formulário próprio </w:t>
      </w:r>
      <w:r w:rsidR="000C6669" w:rsidRPr="00E758B3">
        <w:rPr>
          <w:rFonts w:ascii="Arial Narrow" w:hAnsi="Arial Narrow"/>
          <w:color w:val="002060"/>
        </w:rPr>
        <w:t>dependendo do tipo de ligação a ser efetuada</w:t>
      </w:r>
      <w:r w:rsidR="00F23BF3" w:rsidRPr="00E758B3">
        <w:rPr>
          <w:rFonts w:ascii="Arial Narrow" w:hAnsi="Arial Narrow"/>
          <w:color w:val="002060"/>
        </w:rPr>
        <w:t>.</w:t>
      </w:r>
    </w:p>
    <w:p w:rsidR="00F23BF3" w:rsidRPr="00E758B3" w:rsidRDefault="00E758B3" w:rsidP="00DE3C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proofErr w:type="gramStart"/>
      <w:r w:rsidRPr="00E758B3">
        <w:rPr>
          <w:rFonts w:ascii="Arial Narrow" w:hAnsi="Arial Narrow"/>
          <w:b/>
        </w:rPr>
        <w:t>3.3 QUAL</w:t>
      </w:r>
      <w:proofErr w:type="gramEnd"/>
      <w:r w:rsidRPr="00E758B3">
        <w:rPr>
          <w:rFonts w:ascii="Arial Narrow" w:hAnsi="Arial Narrow"/>
          <w:b/>
        </w:rPr>
        <w:t xml:space="preserve"> É O PRAZO PREVISTO PARA AVALIAÇÃO DE DOCUMENTOS?</w:t>
      </w:r>
    </w:p>
    <w:p w:rsidR="004613E4" w:rsidRPr="009C0240" w:rsidRDefault="004613E4" w:rsidP="004613E4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DE3CF5" w:rsidRPr="00E758B3" w:rsidRDefault="00F23BF3" w:rsidP="00F23BF3">
      <w:pPr>
        <w:ind w:firstLine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O prazo máximo de avaliação dos documentos é de 30 dias.</w:t>
      </w:r>
    </w:p>
    <w:p w:rsidR="00DE3CF5" w:rsidRPr="00E758B3" w:rsidRDefault="00E758B3" w:rsidP="00DE3C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proofErr w:type="gramStart"/>
      <w:r w:rsidRPr="00E758B3">
        <w:rPr>
          <w:rFonts w:ascii="Arial Narrow" w:hAnsi="Arial Narrow"/>
          <w:b/>
        </w:rPr>
        <w:t>3.4 QUAL</w:t>
      </w:r>
      <w:proofErr w:type="gramEnd"/>
      <w:r w:rsidRPr="00E758B3">
        <w:rPr>
          <w:rFonts w:ascii="Arial Narrow" w:hAnsi="Arial Narrow"/>
          <w:b/>
        </w:rPr>
        <w:t xml:space="preserve"> É O PRAZO PREVISTO PARA A LIGAÇÃO? </w:t>
      </w:r>
    </w:p>
    <w:p w:rsidR="004613E4" w:rsidRPr="009C0240" w:rsidRDefault="004613E4" w:rsidP="004613E4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F23BF3" w:rsidRPr="00E758B3" w:rsidRDefault="00F23BF3" w:rsidP="004613E4">
      <w:pPr>
        <w:ind w:firstLine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O prazo de ligação varia de 5 a 12 dias, dependendo do tipo de ligação e da localização da unidade consumidora</w:t>
      </w:r>
      <w:r w:rsidR="004613E4" w:rsidRPr="00E758B3">
        <w:rPr>
          <w:rFonts w:ascii="Arial Narrow" w:hAnsi="Arial Narrow"/>
          <w:color w:val="002060"/>
        </w:rPr>
        <w:t>.</w:t>
      </w:r>
    </w:p>
    <w:p w:rsidR="00DE3CF5" w:rsidRPr="009C0240" w:rsidRDefault="00DE3CF5" w:rsidP="00DE3CF5">
      <w:pPr>
        <w:jc w:val="both"/>
        <w:rPr>
          <w:rFonts w:ascii="Arial Narrow" w:hAnsi="Arial Narrow"/>
        </w:rPr>
      </w:pPr>
    </w:p>
    <w:p w:rsidR="00DE3CF5" w:rsidRPr="00E758B3" w:rsidRDefault="00E758B3" w:rsidP="00DE3CF5">
      <w:pPr>
        <w:jc w:val="both"/>
        <w:rPr>
          <w:rFonts w:ascii="Arial Narrow" w:hAnsi="Arial Narrow"/>
          <w:b/>
          <w:color w:val="FF0000"/>
        </w:rPr>
      </w:pPr>
      <w:proofErr w:type="gramStart"/>
      <w:r w:rsidRPr="00E758B3">
        <w:rPr>
          <w:rFonts w:ascii="Arial Narrow" w:hAnsi="Arial Narrow"/>
          <w:b/>
          <w:color w:val="FF0000"/>
        </w:rPr>
        <w:lastRenderedPageBreak/>
        <w:t>4 – SOBRE ESTUDO DE REDE / REFORÇO</w:t>
      </w:r>
      <w:proofErr w:type="gramEnd"/>
      <w:r w:rsidRPr="00E758B3">
        <w:rPr>
          <w:rFonts w:ascii="Arial Narrow" w:hAnsi="Arial Narrow"/>
          <w:b/>
          <w:color w:val="FF0000"/>
        </w:rPr>
        <w:t xml:space="preserve"> DE POSTE</w:t>
      </w:r>
    </w:p>
    <w:p w:rsidR="00DE3CF5" w:rsidRPr="00E758B3" w:rsidRDefault="00E758B3" w:rsidP="00DE3C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Pr="00E758B3">
        <w:rPr>
          <w:rFonts w:ascii="Arial Narrow" w:hAnsi="Arial Narrow"/>
          <w:b/>
        </w:rPr>
        <w:t xml:space="preserve">4.1 QUANDO AS EMPRESAS DEVEM SOLICITAR O ESTUDO DE REDE? </w:t>
      </w:r>
    </w:p>
    <w:p w:rsidR="004613E4" w:rsidRPr="009C0240" w:rsidRDefault="004613E4" w:rsidP="004613E4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 xml:space="preserve">As empresas devem solicitar as condições técnicas e comerciais (orçamento) para o fornecimento de energia elétrica aos empreendimentos habitacionais. 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Efetivada a solicitação de fornecimento, a Cemig apresentará por escrito, no prazo de 30 (trinta) dias, o orçamento do atendimento, contendo:</w:t>
      </w:r>
    </w:p>
    <w:p w:rsidR="00DE3CF5" w:rsidRPr="00E758B3" w:rsidRDefault="00E758B3" w:rsidP="00DE3CF5">
      <w:pPr>
        <w:ind w:left="708"/>
        <w:jc w:val="both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- </w:t>
      </w:r>
      <w:r w:rsidR="00DE3CF5" w:rsidRPr="00E758B3">
        <w:rPr>
          <w:rFonts w:ascii="Arial Narrow" w:hAnsi="Arial Narrow"/>
          <w:color w:val="002060"/>
        </w:rPr>
        <w:t>As obras necessárias (extensão e/ou reforço de rede de distribuição);</w:t>
      </w:r>
    </w:p>
    <w:p w:rsidR="00DE3CF5" w:rsidRPr="00E758B3" w:rsidRDefault="00E758B3" w:rsidP="00DE3CF5">
      <w:pPr>
        <w:ind w:left="708"/>
        <w:jc w:val="both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>-</w:t>
      </w:r>
      <w:r w:rsidR="00DE3CF5" w:rsidRPr="00E758B3">
        <w:rPr>
          <w:rFonts w:ascii="Arial Narrow" w:hAnsi="Arial Narrow"/>
          <w:color w:val="002060"/>
        </w:rPr>
        <w:t xml:space="preserve"> Ampliação da capacidade do sistema elétrico;</w:t>
      </w:r>
    </w:p>
    <w:p w:rsidR="00DE3CF5" w:rsidRPr="00E758B3" w:rsidRDefault="00E758B3" w:rsidP="00DE3CF5">
      <w:pPr>
        <w:ind w:left="708"/>
        <w:jc w:val="both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 xml:space="preserve">- </w:t>
      </w:r>
      <w:r w:rsidR="00DE3CF5" w:rsidRPr="00E758B3">
        <w:rPr>
          <w:rFonts w:ascii="Arial Narrow" w:hAnsi="Arial Narrow"/>
          <w:color w:val="002060"/>
        </w:rPr>
        <w:t>Prazo do atendimento;</w:t>
      </w:r>
    </w:p>
    <w:p w:rsidR="00DE3CF5" w:rsidRPr="00E758B3" w:rsidRDefault="00E758B3" w:rsidP="00DE3CF5">
      <w:pPr>
        <w:ind w:left="708"/>
        <w:jc w:val="both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>-</w:t>
      </w:r>
      <w:r w:rsidR="00DE3CF5" w:rsidRPr="00E758B3">
        <w:rPr>
          <w:rFonts w:ascii="Arial Narrow" w:hAnsi="Arial Narrow"/>
          <w:color w:val="002060"/>
        </w:rPr>
        <w:t xml:space="preserve"> Participação financeira do interessado;</w:t>
      </w:r>
    </w:p>
    <w:p w:rsidR="00DE3CF5" w:rsidRPr="00E758B3" w:rsidRDefault="00E758B3" w:rsidP="00DE3CF5">
      <w:pPr>
        <w:ind w:left="708"/>
        <w:jc w:val="both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>-</w:t>
      </w:r>
      <w:r w:rsidR="00DE3CF5" w:rsidRPr="00E758B3">
        <w:rPr>
          <w:rFonts w:ascii="Arial Narrow" w:hAnsi="Arial Narrow"/>
          <w:color w:val="002060"/>
        </w:rPr>
        <w:t xml:space="preserve"> Entre outras informações.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 xml:space="preserve">Ressalta-se que o prazo regulatório para atendimento aos empreendimentos habitacionais para regularização fundiária de interesse social é de </w:t>
      </w:r>
      <w:proofErr w:type="gramStart"/>
      <w:r w:rsidRPr="00E758B3">
        <w:rPr>
          <w:rFonts w:ascii="Arial Narrow" w:hAnsi="Arial Narrow"/>
          <w:color w:val="002060"/>
        </w:rPr>
        <w:t>1</w:t>
      </w:r>
      <w:proofErr w:type="gramEnd"/>
      <w:r w:rsidRPr="00E758B3">
        <w:rPr>
          <w:rFonts w:ascii="Arial Narrow" w:hAnsi="Arial Narrow"/>
          <w:color w:val="002060"/>
        </w:rPr>
        <w:t xml:space="preserve"> (um) ano (artigo 47 da Resolução 414/2010). Logo, o responsável pela implantação do empreendimento deve solicitar o fornecimento com a antecedência defina na regulamentação do setor elétrico.</w:t>
      </w:r>
    </w:p>
    <w:p w:rsidR="00DE3CF5" w:rsidRPr="009C0240" w:rsidRDefault="00DE3CF5" w:rsidP="00DE3CF5">
      <w:pPr>
        <w:ind w:firstLine="708"/>
        <w:jc w:val="both"/>
        <w:rPr>
          <w:rFonts w:ascii="Arial Narrow" w:hAnsi="Arial Narrow"/>
        </w:rPr>
      </w:pPr>
    </w:p>
    <w:p w:rsidR="00DE3CF5" w:rsidRPr="00E758B3" w:rsidRDefault="00E758B3" w:rsidP="00DE3CF5">
      <w:pPr>
        <w:jc w:val="both"/>
        <w:rPr>
          <w:rFonts w:ascii="Arial Narrow" w:hAnsi="Arial Narrow"/>
          <w:b/>
        </w:rPr>
      </w:pPr>
      <w:r w:rsidRPr="00E758B3">
        <w:rPr>
          <w:rFonts w:ascii="Arial Narrow" w:hAnsi="Arial Narrow"/>
          <w:b/>
        </w:rPr>
        <w:t xml:space="preserve">   4.2 SE FOREM CONTESTADO NO ESTUDO DE REDE EXISTE NECESSIDADE DE REFORÇO DE REDE, QUAIS DEVEM SER AS PROVIDÊNCIAS A SEREM TOMADAS PELAS EMPRESAS ASSOCIADAS?</w:t>
      </w:r>
    </w:p>
    <w:p w:rsidR="004613E4" w:rsidRPr="009C0240" w:rsidRDefault="004613E4" w:rsidP="004613E4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A definição das obras necessárias ao atendimento é uma prerrogativa técnica da concessionária de distribuição de energia elétrica.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Em caso de dúvida sobre as condições técnicas e comerciais apresentadas, o agente comercial poderá ser procurado para os devidos esclarecimentos e/ou encaminhamentos internos.</w:t>
      </w:r>
    </w:p>
    <w:p w:rsidR="00DE3CF5" w:rsidRPr="00E758B3" w:rsidRDefault="00E758B3" w:rsidP="00DE3CF5">
      <w:pPr>
        <w:jc w:val="both"/>
        <w:rPr>
          <w:rFonts w:ascii="Arial Narrow" w:hAnsi="Arial Narrow"/>
          <w:b/>
        </w:rPr>
      </w:pPr>
      <w:r w:rsidRPr="00E758B3">
        <w:rPr>
          <w:rFonts w:ascii="Arial Narrow" w:hAnsi="Arial Narrow"/>
          <w:b/>
        </w:rPr>
        <w:t xml:space="preserve">   4.3 QUAIS SÃO OS PRAZOS? </w:t>
      </w:r>
    </w:p>
    <w:p w:rsidR="00DE3CF5" w:rsidRPr="009C0240" w:rsidRDefault="00DE3CF5" w:rsidP="00DE3CF5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DE3CF5" w:rsidRPr="00E758B3" w:rsidRDefault="00DE3CF5" w:rsidP="00DE3CF5">
      <w:pPr>
        <w:ind w:firstLine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Emissão de orçamento: 30 (trinta) dias.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 xml:space="preserve">Atendimento de empreendimento habitacional de interesse social: em até </w:t>
      </w:r>
      <w:proofErr w:type="gramStart"/>
      <w:r w:rsidRPr="00E758B3">
        <w:rPr>
          <w:rFonts w:ascii="Arial Narrow" w:hAnsi="Arial Narrow"/>
          <w:color w:val="002060"/>
        </w:rPr>
        <w:t>1</w:t>
      </w:r>
      <w:proofErr w:type="gramEnd"/>
      <w:r w:rsidRPr="00E758B3">
        <w:rPr>
          <w:rFonts w:ascii="Arial Narrow" w:hAnsi="Arial Narrow"/>
          <w:color w:val="002060"/>
        </w:rPr>
        <w:t xml:space="preserve"> (um) ano.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Atendimento aos demais empreendimentos habitacionais: será definido de acordo com as obras necessárias ao atendimento.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Alternativa ofertada (opção do empreendedor): atendimento na modalidade Part (execução direta da obra pelo interessado).</w:t>
      </w:r>
    </w:p>
    <w:p w:rsidR="00DE3CF5" w:rsidRPr="009C0240" w:rsidRDefault="00DE3CF5" w:rsidP="00DE3CF5">
      <w:pPr>
        <w:jc w:val="both"/>
        <w:rPr>
          <w:rFonts w:ascii="Arial Narrow" w:hAnsi="Arial Narrow"/>
          <w:b/>
        </w:rPr>
      </w:pPr>
    </w:p>
    <w:p w:rsidR="00DE3CF5" w:rsidRPr="00E758B3" w:rsidRDefault="00E758B3" w:rsidP="00DE3CF5">
      <w:pPr>
        <w:jc w:val="both"/>
        <w:rPr>
          <w:rFonts w:ascii="Arial Narrow" w:hAnsi="Arial Narrow"/>
          <w:b/>
          <w:color w:val="FF0000"/>
        </w:rPr>
      </w:pPr>
      <w:r w:rsidRPr="00E758B3">
        <w:rPr>
          <w:rFonts w:ascii="Arial Narrow" w:hAnsi="Arial Narrow"/>
          <w:b/>
          <w:color w:val="FF0000"/>
        </w:rPr>
        <w:t xml:space="preserve">5 – SOBRE O PROGRAMA MINHA CASA - MINHA VIDA FAIXA </w:t>
      </w:r>
      <w:proofErr w:type="gramStart"/>
      <w:r w:rsidRPr="00E758B3">
        <w:rPr>
          <w:rFonts w:ascii="Arial Narrow" w:hAnsi="Arial Narrow"/>
          <w:b/>
          <w:color w:val="FF0000"/>
        </w:rPr>
        <w:t>1</w:t>
      </w:r>
      <w:proofErr w:type="gramEnd"/>
      <w:r w:rsidRPr="00E758B3">
        <w:rPr>
          <w:rFonts w:ascii="Arial Narrow" w:hAnsi="Arial Narrow"/>
          <w:b/>
          <w:color w:val="FF0000"/>
        </w:rPr>
        <w:t>.</w:t>
      </w:r>
    </w:p>
    <w:p w:rsidR="00DE3CF5" w:rsidRPr="00E758B3" w:rsidRDefault="00E758B3" w:rsidP="00DE3CF5">
      <w:pPr>
        <w:ind w:left="708"/>
        <w:jc w:val="both"/>
        <w:rPr>
          <w:rFonts w:ascii="Arial Narrow" w:hAnsi="Arial Narrow"/>
          <w:b/>
        </w:rPr>
      </w:pPr>
      <w:r w:rsidRPr="00E758B3">
        <w:rPr>
          <w:rFonts w:ascii="Arial Narrow" w:hAnsi="Arial Narrow"/>
          <w:b/>
        </w:rPr>
        <w:t xml:space="preserve">5.1 ESTAMOS CIENTES DO ACORDO FIRMADO ENTRE A CEMIG E O MINISTÉRIO DAS CIDADES PARA O ATENDIMENTO GRATUITO DE FORNECIMENTO DE ENERGIA PARA OS CONJUNTOS HABITACIONAIS ENQUADRADOS NO PMCMV FAIXA </w:t>
      </w:r>
      <w:proofErr w:type="gramStart"/>
      <w:r w:rsidRPr="00E758B3">
        <w:rPr>
          <w:rFonts w:ascii="Arial Narrow" w:hAnsi="Arial Narrow"/>
          <w:b/>
        </w:rPr>
        <w:t>1</w:t>
      </w:r>
      <w:proofErr w:type="gramEnd"/>
      <w:r w:rsidRPr="00E758B3">
        <w:rPr>
          <w:rFonts w:ascii="Arial Narrow" w:hAnsi="Arial Narrow"/>
          <w:b/>
        </w:rPr>
        <w:t>. FAVOR INFORMAR SOBRE O ACORDO NA SUA INTEGRA, QUANDO E QUAIS DEVERÃO SER AS PROVIDENCIAS A SEREM TOMADAS PELAS EMPRESAS ASSOCIADAS.</w:t>
      </w:r>
    </w:p>
    <w:p w:rsidR="00DE3CF5" w:rsidRPr="009C0240" w:rsidRDefault="00DE3CF5" w:rsidP="00DE3CF5">
      <w:pPr>
        <w:jc w:val="both"/>
        <w:rPr>
          <w:rFonts w:ascii="Arial Narrow" w:hAnsi="Arial Narrow"/>
          <w:b/>
        </w:rPr>
      </w:pPr>
      <w:r w:rsidRPr="009C0240">
        <w:rPr>
          <w:rFonts w:ascii="Arial Narrow" w:hAnsi="Arial Narrow"/>
          <w:b/>
        </w:rPr>
        <w:t xml:space="preserve">RESPOSTA: 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Primeiramente cumpre-nos dest</w:t>
      </w:r>
      <w:bookmarkStart w:id="0" w:name="_GoBack"/>
      <w:bookmarkEnd w:id="0"/>
      <w:r w:rsidRPr="00E758B3">
        <w:rPr>
          <w:rFonts w:ascii="Arial Narrow" w:hAnsi="Arial Narrow"/>
          <w:color w:val="002060"/>
        </w:rPr>
        <w:t>acar que não existe acordo firmado com o Ministério das Cidades, uma vez que a matéria já está regulada pela Agência Nacional de Energia Elétrica – Aneel.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A Cemig Distribuição S.A., desde a primeira etapa do Programa Minha Casa Minha Vida, atende aos empreendimentos habitacionais de acordo com os critérios estabelecidos na Resolução Aneel nº 414/2010.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A referida resolução estabelece em seu artigo 47 que a distribuidora é a responsável pelos investimentos necessários e pela construção das redes e instalações de energia elétrica para atendimento das unidades consumidoras situadas em empreendimentos habitacionais urbanos de interesse social e na regularização fundiária de interesse social, destinados às classes de baixa renda, que estejam em conformidade com a legislação aplicável.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 xml:space="preserve">Assim, para atendimento aos empreendimentos habitacionais do PMCMV destinados às famílias de baixa renda (faixa </w:t>
      </w:r>
      <w:proofErr w:type="gramStart"/>
      <w:r w:rsidRPr="00E758B3">
        <w:rPr>
          <w:rFonts w:ascii="Arial Narrow" w:hAnsi="Arial Narrow"/>
          <w:color w:val="002060"/>
        </w:rPr>
        <w:t>1</w:t>
      </w:r>
      <w:proofErr w:type="gramEnd"/>
      <w:r w:rsidRPr="00E758B3">
        <w:rPr>
          <w:rFonts w:ascii="Arial Narrow" w:hAnsi="Arial Narrow"/>
          <w:color w:val="002060"/>
        </w:rPr>
        <w:t>), desde que os recursos para construção das redes de distribuição de energia elétrica não tenham sido objeto do financiamento junto à Caixa Econômica Federal e que a documentação comprobatória do interesse social, incluindo as leis específicas, seja apresentada, a Cemig Distribuição S.A. realiza o atendimento sem ônus para o empreendedor.</w:t>
      </w:r>
    </w:p>
    <w:p w:rsidR="00DE3CF5" w:rsidRPr="00E758B3" w:rsidRDefault="00DE3CF5" w:rsidP="00DE3CF5">
      <w:pPr>
        <w:ind w:left="708"/>
        <w:jc w:val="both"/>
        <w:rPr>
          <w:rFonts w:ascii="Arial Narrow" w:hAnsi="Arial Narrow"/>
          <w:color w:val="002060"/>
        </w:rPr>
      </w:pPr>
      <w:r w:rsidRPr="00E758B3">
        <w:rPr>
          <w:rFonts w:ascii="Arial Narrow" w:hAnsi="Arial Narrow"/>
          <w:color w:val="002060"/>
        </w:rPr>
        <w:t>Salienta-se que as instalações internas das unidades consumidoras e a iluminação pública ou de vias internas não são de responsabilidade da distribuidora.</w:t>
      </w:r>
    </w:p>
    <w:p w:rsidR="000C0D32" w:rsidRDefault="000C0D32" w:rsidP="000C0D32"/>
    <w:p w:rsidR="000C0D32" w:rsidRDefault="000C0D32" w:rsidP="000C0D32"/>
    <w:p w:rsidR="000C0D32" w:rsidRDefault="000C0D32" w:rsidP="000C0D32"/>
    <w:p w:rsidR="000C0D32" w:rsidRDefault="000C0D32" w:rsidP="000C0D32"/>
    <w:p w:rsidR="000C0D32" w:rsidRDefault="000C0D32" w:rsidP="000C0D32"/>
    <w:p w:rsidR="000C0D32" w:rsidRDefault="000C0D32" w:rsidP="000C0D32"/>
    <w:p w:rsidR="000C0D32" w:rsidRPr="000C0D32" w:rsidRDefault="000C0D32" w:rsidP="000C0D32"/>
    <w:sectPr w:rsidR="000C0D32" w:rsidRPr="000C0D32" w:rsidSect="000419EA">
      <w:headerReference w:type="default" r:id="rId10"/>
      <w:footerReference w:type="default" r:id="rId11"/>
      <w:pgSz w:w="11906" w:h="16838"/>
      <w:pgMar w:top="-1843" w:right="707" w:bottom="1417" w:left="709" w:header="284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DB" w:rsidRDefault="006742DB" w:rsidP="00721D0D">
      <w:pPr>
        <w:spacing w:after="0" w:line="240" w:lineRule="auto"/>
      </w:pPr>
      <w:r>
        <w:separator/>
      </w:r>
    </w:p>
  </w:endnote>
  <w:endnote w:type="continuationSeparator" w:id="0">
    <w:p w:rsidR="006742DB" w:rsidRDefault="006742DB" w:rsidP="0072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0D" w:rsidRDefault="00995119" w:rsidP="00995119">
    <w:pPr>
      <w:pStyle w:val="Rodap"/>
      <w:tabs>
        <w:tab w:val="clear" w:pos="4252"/>
        <w:tab w:val="clear" w:pos="8504"/>
        <w:tab w:val="center" w:pos="4253"/>
      </w:tabs>
      <w:ind w:right="-425"/>
      <w:jc w:val="center"/>
    </w:pPr>
    <w:r w:rsidRPr="00DA321A">
      <w:t xml:space="preserve">                                                                                        </w:t>
    </w:r>
    <w:r w:rsidR="0029067E" w:rsidRPr="00DA321A">
      <w:t xml:space="preserve">                                      </w:t>
    </w:r>
    <w:r w:rsidR="00EA4F98">
      <w:object w:dxaOrig="6128" w:dyaOrig="1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3pt;height:55.5pt" o:ole="">
          <v:imagedata r:id="rId1" o:title=""/>
        </v:shape>
        <o:OLEObject Type="Embed" ProgID="CorelDraw.Graphic.15" ShapeID="_x0000_i1026" DrawAspect="Content" ObjectID="_149070390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DB" w:rsidRDefault="006742DB" w:rsidP="00721D0D">
      <w:pPr>
        <w:spacing w:after="0" w:line="240" w:lineRule="auto"/>
      </w:pPr>
      <w:r>
        <w:separator/>
      </w:r>
    </w:p>
  </w:footnote>
  <w:footnote w:type="continuationSeparator" w:id="0">
    <w:p w:rsidR="006742DB" w:rsidRDefault="006742DB" w:rsidP="0072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0D" w:rsidRDefault="00DA321A" w:rsidP="00721D0D">
    <w:pPr>
      <w:pStyle w:val="Cabealho"/>
      <w:tabs>
        <w:tab w:val="clear" w:pos="8504"/>
      </w:tabs>
    </w:pPr>
    <w:r>
      <w:object w:dxaOrig="17830" w:dyaOrig="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2pt;height:110.25pt" o:ole="">
          <v:imagedata r:id="rId1" o:title=""/>
        </v:shape>
        <o:OLEObject Type="Embed" ProgID="CorelDraw.Graphic.15" ShapeID="_x0000_i1025" DrawAspect="Content" ObjectID="_14907039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339E"/>
    <w:multiLevelType w:val="multilevel"/>
    <w:tmpl w:val="EB105D86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1143" w:hanging="43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0D"/>
    <w:rsid w:val="000419EA"/>
    <w:rsid w:val="000C0D32"/>
    <w:rsid w:val="000C6669"/>
    <w:rsid w:val="001A5AC8"/>
    <w:rsid w:val="0029067E"/>
    <w:rsid w:val="002F1A38"/>
    <w:rsid w:val="003E55C4"/>
    <w:rsid w:val="004613E4"/>
    <w:rsid w:val="00473362"/>
    <w:rsid w:val="00547B62"/>
    <w:rsid w:val="005E5C4B"/>
    <w:rsid w:val="005E5FFD"/>
    <w:rsid w:val="006742DB"/>
    <w:rsid w:val="006C6540"/>
    <w:rsid w:val="00702ED0"/>
    <w:rsid w:val="00721D0D"/>
    <w:rsid w:val="007524B9"/>
    <w:rsid w:val="00797CF3"/>
    <w:rsid w:val="0084139B"/>
    <w:rsid w:val="00977E85"/>
    <w:rsid w:val="00995119"/>
    <w:rsid w:val="00A3278F"/>
    <w:rsid w:val="00A36251"/>
    <w:rsid w:val="00AB5A25"/>
    <w:rsid w:val="00BF7CDD"/>
    <w:rsid w:val="00DA321A"/>
    <w:rsid w:val="00DE3CF5"/>
    <w:rsid w:val="00DE4434"/>
    <w:rsid w:val="00E758B3"/>
    <w:rsid w:val="00EA4F98"/>
    <w:rsid w:val="00EB7DE1"/>
    <w:rsid w:val="00F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1D0D"/>
  </w:style>
  <w:style w:type="paragraph" w:styleId="Rodap">
    <w:name w:val="footer"/>
    <w:basedOn w:val="Normal"/>
    <w:link w:val="RodapChar"/>
    <w:uiPriority w:val="99"/>
    <w:unhideWhenUsed/>
    <w:rsid w:val="0072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D0D"/>
  </w:style>
  <w:style w:type="character" w:styleId="Hyperlink">
    <w:name w:val="Hyperlink"/>
    <w:uiPriority w:val="99"/>
    <w:unhideWhenUsed/>
    <w:rsid w:val="00DE3C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1D0D"/>
  </w:style>
  <w:style w:type="paragraph" w:styleId="Rodap">
    <w:name w:val="footer"/>
    <w:basedOn w:val="Normal"/>
    <w:link w:val="RodapChar"/>
    <w:uiPriority w:val="99"/>
    <w:unhideWhenUsed/>
    <w:rsid w:val="0072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D0D"/>
  </w:style>
  <w:style w:type="character" w:styleId="Hyperlink">
    <w:name w:val="Hyperlink"/>
    <w:uiPriority w:val="99"/>
    <w:unhideWhenUsed/>
    <w:rsid w:val="00DE3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mig.com.br/Atendimento/ClientesResidenciaisEDemaisClasses/Paginas/NormaTecnica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5028-2E35-4F52-94C6-575D8460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5876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Néllie</cp:lastModifiedBy>
  <cp:revision>2</cp:revision>
  <dcterms:created xsi:type="dcterms:W3CDTF">2015-04-16T18:39:00Z</dcterms:created>
  <dcterms:modified xsi:type="dcterms:W3CDTF">2015-04-16T18:39:00Z</dcterms:modified>
</cp:coreProperties>
</file>